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24117" w:rsidRPr="0051342B" w:rsidP="00624117" w14:paraId="46549C85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Disgrifiad Swydd:</w:t>
      </w:r>
      <w:r w:rsidRPr="0051342B">
        <w:rPr>
          <w:rFonts w:ascii="Calibri" w:hAnsi="Calibri" w:cs="Arial"/>
          <w:b w:val="0"/>
          <w:u w:val="none"/>
          <w:rtl w:val="0"/>
          <w:lang w:val="cy-GB"/>
        </w:rPr>
        <w:t xml:space="preserve"> </w:t>
      </w: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Swyddi Gwasanaethau Proffesiynol</w:t>
      </w:r>
    </w:p>
    <w:p w:rsidR="00624117" w:rsidRPr="0051342B" w:rsidP="00624117" w14:paraId="37056702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B8FDB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54D7A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Cyfadran/Cyfarwyddiaeth/Maes Gwasanaeth:</w:t>
            </w:r>
          </w:p>
        </w:tc>
        <w:tc>
          <w:tcPr>
            <w:tcW w:w="8364" w:type="dxa"/>
          </w:tcPr>
          <w:p w:rsidR="00624117" w:rsidRPr="00317B75" w:rsidP="009305C0" w14:paraId="686F4088" w14:textId="62570471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17B75"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Y Gyfadran Gwyddoniaeth a Pheirianneg - Peirianneg Gemegol</w:t>
            </w:r>
          </w:p>
        </w:tc>
      </w:tr>
      <w:tr w14:paraId="2D970398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499A6DF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624117" w:rsidRPr="00317B75" w:rsidP="009305C0" w14:paraId="447A9445" w14:textId="4DF6A78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17B75"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Technegydd (Peirianneg Gemegol)</w:t>
            </w:r>
          </w:p>
        </w:tc>
      </w:tr>
      <w:tr w14:paraId="6B1AABDF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1571A09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24117" w:rsidRPr="00317B75" w:rsidP="009305C0" w14:paraId="432B319A" w14:textId="48EA836E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Peirianneg Gemegol/Trin Dŵr</w:t>
            </w:r>
          </w:p>
        </w:tc>
      </w:tr>
      <w:tr w14:paraId="1EFB7120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79407C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624117" w:rsidRPr="00317B75" w:rsidP="009305C0" w14:paraId="39F24986" w14:textId="69030F0F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17B75"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Gradd 6 £28,759  – £32,332 y flwyddyn pro rata</w:t>
            </w:r>
          </w:p>
        </w:tc>
      </w:tr>
      <w:tr w14:paraId="6C6B5EB5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2F2F8B2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624117" w:rsidRPr="00317B75" w:rsidP="009305C0" w14:paraId="4DF934CC" w14:textId="14C12B31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17B75"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14 awr yr wythnos/ 0.4 CALl dydd Llun a dydd Mawrth</w:t>
            </w:r>
          </w:p>
        </w:tc>
      </w:tr>
      <w:tr w14:paraId="1DC13B3D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E1D357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624117" w:rsidRPr="00317B75" w:rsidP="009305C0" w14:paraId="7199363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17B75"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1</w:t>
            </w:r>
          </w:p>
        </w:tc>
      </w:tr>
      <w:tr w14:paraId="4FADB6DE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190A5E9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624117" w:rsidRPr="00317B75" w:rsidP="009305C0" w14:paraId="3DDC8381" w14:textId="6114162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7 mis</w:t>
            </w:r>
          </w:p>
        </w:tc>
      </w:tr>
      <w:tr w14:paraId="7D5CAFF7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317B75" w:rsidRPr="0051342B" w:rsidP="00317B75" w14:paraId="564D35A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317B75" w:rsidRPr="0051342B" w:rsidP="00317B75" w14:paraId="6B10C4D9" w14:textId="7944BA4F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612FDB82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Bydd deiliad y swydd hon yn gweithio ar Gampws y Bae yn bennaf. Mae'n bosib y bydd angen teithio i gampysau eraill ar sail anghenion busnes a/neu anghenion gweithredol.</w:t>
            </w:r>
          </w:p>
        </w:tc>
      </w:tr>
    </w:tbl>
    <w:p w:rsidR="00624117" w:rsidRPr="0051342B" w:rsidP="00624117" w14:paraId="67D78FBD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722D47B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317B75" w:rsidRPr="0051342B" w:rsidP="00317B75" w14:paraId="53B22CF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317B75" w:rsidRPr="0051342B" w:rsidP="00317B75" w14:paraId="7574ABE4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317B75" w:rsidRPr="00317B75" w:rsidP="00317B75" w14:paraId="72B9B59D" w14:textId="2902877A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rtl w:val="0"/>
                <w:lang w:val="cy-GB"/>
              </w:rPr>
              <w:t>Dylunio a phrofi system trin dŵr drwy ddi-ïoneiddio cynhwysaidd. Helpu i weithredu cyfleusterau addysgu a/neu ymchwil y Biowyddorau o ddydd i ddydd, gan gynnwys cynorthwyo wrth ddyrannu gwaith a chynorthwyo gyda gwaith rheoli staff technegol a phrentisiaid.</w:t>
            </w:r>
            <w:r w:rsidRPr="00CA25C7">
              <w:rPr>
                <w:rFonts w:asciiTheme="minorHAnsi" w:hAnsiTheme="minorHAnsi"/>
                <w:rtl w:val="0"/>
                <w:lang w:val="cy-GB"/>
              </w:rPr>
              <w:t xml:space="preserve"> </w:t>
            </w:r>
          </w:p>
          <w:p w:rsidR="00317B75" w:rsidRPr="00317B75" w:rsidP="00317B75" w14:paraId="59793B93" w14:textId="77777777">
            <w:pPr>
              <w:pStyle w:val="ListParagraph"/>
              <w:bidi w:val="0"/>
              <w:rPr>
                <w:rFonts w:asciiTheme="minorHAnsi" w:hAnsiTheme="minorHAnsi"/>
                <w:sz w:val="22"/>
              </w:rPr>
            </w:pPr>
          </w:p>
          <w:p w:rsidR="00317B75" w:rsidRPr="00317B75" w:rsidP="00317B75" w14:paraId="1AEF53D7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Cyflawni rôl gefnogol yng nghyfleusterau’r Biowyddorau mewn cydweithrediad â staff, myfyrwyr a chyfadrannau eraill yn ôl yr angen. </w:t>
            </w:r>
            <w:r w:rsidRPr="00317B75">
              <w:rPr>
                <w:rFonts w:eastAsia="Times New Roman"/>
                <w:sz w:val="22"/>
                <w:rtl w:val="0"/>
                <w:lang w:val="cy-GB"/>
              </w:rPr>
              <w:t>Mae hyn yn cynnwys cyfleusterau Labordai a Rennir i sicrhau bod sesiynau ymarferol y Biowyddorau, BIOchem, AMS a Fferylliaeth yn cael eu cynnal yn hwylus.</w:t>
            </w: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br/>
            </w:r>
          </w:p>
          <w:p w:rsidR="00317B75" w:rsidRPr="00317B75" w:rsidP="00317B75" w14:paraId="6A7025FC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Darparu cymorth, cyngor ac argymhellion i staff academaidd, myfyrwyr, ymchwilwyr ac aelodau staff technegol eraill.</w:t>
            </w:r>
          </w:p>
          <w:p w:rsidR="00317B75" w:rsidRPr="00317B75" w:rsidP="00317B75" w14:paraId="6B6E2E4E" w14:textId="77777777">
            <w:pPr>
              <w:pStyle w:val="ListParagraph"/>
              <w:bidi w:val="0"/>
              <w:rPr>
                <w:rFonts w:asciiTheme="minorHAnsi" w:hAnsiTheme="minorHAnsi" w:cstheme="minorHAnsi"/>
                <w:sz w:val="22"/>
              </w:rPr>
            </w:pPr>
          </w:p>
          <w:p w:rsidR="00317B75" w:rsidRPr="00ED012E" w:rsidP="00ED012E" w14:paraId="6A812595" w14:textId="27390C6C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Cynnal a chadw, gwasanaethu, calibradu ac atgyweirio offer er mwyn diwallu anghenion gofynnol.       </w:t>
            </w: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br/>
            </w:r>
          </w:p>
          <w:p w:rsidR="00317B75" w:rsidRPr="00317B75" w:rsidP="00317B75" w14:paraId="778BBAB0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Cynorthwyo wrth arddangos cyfarpar, meddalwedd a gweithdrefnau i ddefnyddwyr yn ôl yr angen.</w:t>
            </w:r>
          </w:p>
          <w:p w:rsidR="00317B75" w:rsidRPr="00317B75" w:rsidP="00317B75" w14:paraId="4685F1EA" w14:textId="77777777">
            <w:pPr>
              <w:pStyle w:val="ListParagraph"/>
              <w:bidi w:val="0"/>
              <w:rPr>
                <w:rFonts w:asciiTheme="minorHAnsi" w:hAnsiTheme="minorHAnsi" w:cstheme="minorHAnsi"/>
                <w:sz w:val="22"/>
              </w:rPr>
            </w:pPr>
          </w:p>
          <w:p w:rsidR="00317B75" w:rsidRPr="00317B75" w:rsidP="00317B75" w14:paraId="1B9E8124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2"/>
              </w:rPr>
            </w:pPr>
            <w:r w:rsidRPr="00317B75">
              <w:rPr>
                <w:rFonts w:asciiTheme="minorHAnsi" w:hAnsiTheme="minorHAnsi"/>
                <w:sz w:val="22"/>
                <w:rtl w:val="0"/>
                <w:lang w:val="cy-GB"/>
              </w:rPr>
              <w:t xml:space="preserve">Cefnogi a chynghori staff academaidd i ddatblygu ac addasu arbrofion ar gyfer cyfleusterau a gweithgareddau'r Biowyddorau. </w:t>
            </w:r>
            <w:r w:rsidRPr="00317B75">
              <w:rPr>
                <w:sz w:val="22"/>
                <w:rtl w:val="0"/>
                <w:lang w:val="cy-GB"/>
              </w:rPr>
              <w:br/>
            </w:r>
          </w:p>
          <w:p w:rsidR="00317B75" w:rsidRPr="00317B75" w:rsidP="00317B75" w14:paraId="2ACD0178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Cydweithio â staff o adrannau a meysydd addysgu ac ymchwil cysylltiedig eraill, pan fo'n berthnasol, wrth ddarparu gwasanaethau technegol.</w:t>
            </w: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br/>
            </w:r>
          </w:p>
          <w:p w:rsidR="00317B75" w:rsidRPr="00317B75" w:rsidP="00317B75" w14:paraId="15BE25B3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Rhwydweithio â staff technegol eraill yn y Gyfadran, y Brifysgol ac ym maes addysg uwch ehangach neu'r sector diwydiannol i wella profiad y myfyriwr a/neu'r profiad ymchwil, e.e. </w:t>
            </w: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Ymrwymiad y Technegwyr.</w:t>
            </w:r>
          </w:p>
          <w:p w:rsidR="00317B75" w:rsidRPr="00317B75" w:rsidP="00317B75" w14:paraId="3AB8F3FB" w14:textId="77777777">
            <w:pPr>
              <w:pStyle w:val="ListParagraph"/>
              <w:bidi w:val="0"/>
              <w:rPr>
                <w:rFonts w:asciiTheme="minorHAnsi" w:hAnsiTheme="minorHAnsi" w:cstheme="minorHAnsi"/>
                <w:sz w:val="22"/>
              </w:rPr>
            </w:pPr>
          </w:p>
          <w:p w:rsidR="00317B75" w:rsidRPr="00317B75" w:rsidP="00317B75" w14:paraId="6474C79D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Ymgysylltu'n weithredol â thimau cyfrifoldeb corfforaethol y Brifysgol i hyrwyddo safonau rhagorol mewn iechyd, diogelwch a lles mewn cyfleusterau disgyblaethau diffiniedig a sicrhau y glynir wrth bolisïau a gweithdrefnau'r Brifysgol.</w:t>
            </w:r>
          </w:p>
          <w:p w:rsidR="00317B75" w:rsidRPr="00317B75" w:rsidP="00317B75" w14:paraId="6F1AAD4C" w14:textId="77777777">
            <w:pPr>
              <w:pStyle w:val="ListParagraph"/>
              <w:bidi w:val="0"/>
              <w:rPr>
                <w:rFonts w:asciiTheme="minorHAnsi" w:hAnsiTheme="minorHAnsi" w:cstheme="minorHAnsi"/>
                <w:sz w:val="22"/>
              </w:rPr>
            </w:pPr>
          </w:p>
          <w:p w:rsidR="00317B75" w:rsidRPr="00317B75" w:rsidP="00317B75" w14:paraId="6D771F96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Cefnogi prosesau prynu a chaffael a helpu i lunio dogfennaeth dendro yn ôl yr angen.</w:t>
            </w:r>
          </w:p>
          <w:p w:rsidR="00317B75" w:rsidRPr="00317B75" w:rsidP="00317B75" w14:paraId="0E03BBC0" w14:textId="77777777">
            <w:pPr>
              <w:pStyle w:val="ListParagraph"/>
              <w:bidi w:val="0"/>
              <w:rPr>
                <w:rFonts w:asciiTheme="minorHAnsi" w:hAnsiTheme="minorHAnsi" w:cstheme="minorHAnsi"/>
                <w:sz w:val="22"/>
              </w:rPr>
            </w:pPr>
          </w:p>
          <w:p w:rsidR="00317B75" w:rsidRPr="00317B75" w:rsidP="00317B75" w14:paraId="40466AC6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Cefnogi cyd-dechnegwyr a chefnogi a darparu gwasanaeth cyflenwi i anghenion busnes eraill yn ystod absenoldeb neu gyfnodau prysur, yn ôl yr angen.</w:t>
            </w:r>
          </w:p>
          <w:p w:rsidR="00317B75" w:rsidRPr="00317B75" w:rsidP="00317B75" w14:paraId="687B0658" w14:textId="77777777">
            <w:pPr>
              <w:pStyle w:val="ListParagraph"/>
              <w:bidi w:val="0"/>
              <w:rPr>
                <w:rFonts w:asciiTheme="minorHAnsi" w:hAnsiTheme="minorHAnsi" w:cstheme="minorHAnsi"/>
                <w:sz w:val="22"/>
              </w:rPr>
            </w:pPr>
          </w:p>
          <w:p w:rsidR="00317B75" w:rsidRPr="00317B75" w:rsidP="00317B75" w14:paraId="52AF44B2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Cyflenwi a mewnbynnu data i gronfeydd data.</w:t>
            </w:r>
          </w:p>
          <w:p w:rsidR="00317B75" w:rsidRPr="00317B75" w:rsidP="00317B75" w14:paraId="08DA37B4" w14:textId="77777777">
            <w:pPr>
              <w:pStyle w:val="ListParagraph"/>
              <w:bidi w:val="0"/>
              <w:rPr>
                <w:rFonts w:asciiTheme="minorHAnsi" w:hAnsiTheme="minorHAnsi" w:cstheme="minorHAnsi"/>
                <w:sz w:val="22"/>
              </w:rPr>
            </w:pPr>
          </w:p>
          <w:p w:rsidR="00317B75" w:rsidRPr="00317B75" w:rsidP="00317B75" w14:paraId="3CEE904E" w14:textId="3F853FA3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  <w:r w:rsidRPr="00317B75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Diweddaru gwybodaeth am y maes a dealltwriaeth ohono'n barhaus i hwyluso addysgu a/neu ymchwil. </w:t>
            </w:r>
          </w:p>
        </w:tc>
      </w:tr>
      <w:tr w14:paraId="4C82FD12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317B75" w:rsidRPr="0051342B" w:rsidP="00317B75" w14:paraId="7E3E4BD8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317B75" w:rsidRPr="00317B75" w:rsidP="00317B75" w14:paraId="10616067" w14:textId="7FEF1B45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2"/>
              </w:rPr>
            </w:pPr>
            <w:r w:rsidRPr="00317B75">
              <w:rPr>
                <w:rFonts w:asciiTheme="minorHAnsi" w:eastAsiaTheme="minorHAnsi" w:hAnsiTheme="minorHAnsi" w:cs="Arial"/>
                <w:sz w:val="22"/>
                <w:rtl w:val="0"/>
                <w:lang w:val="cy-GB"/>
              </w:rPr>
              <w:t>Cydlynu a rheoli eich llwyth gwaith eich hun a rhoi cyfarwyddyd i'r sawl sy'n atebol i chi, yn ôl yr angen.</w:t>
            </w:r>
          </w:p>
          <w:p w:rsidR="00317B75" w:rsidRPr="00317B75" w:rsidP="00317B75" w14:paraId="36F0A384" w14:textId="50636688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2"/>
              </w:rPr>
            </w:pPr>
            <w:r w:rsidRPr="00317B75">
              <w:rPr>
                <w:rFonts w:asciiTheme="minorHAnsi" w:eastAsiaTheme="minorHAnsi" w:hAnsiTheme="minorHAnsi" w:cs="Arial"/>
                <w:sz w:val="22"/>
                <w:rtl w:val="0"/>
                <w:lang w:val="cy-GB"/>
              </w:rPr>
              <w:t>Cyfrannu'n llawn at bolisïau Galluogi Perfformiad ac Iaith Gymraeg y Brifysgol.</w:t>
            </w:r>
          </w:p>
          <w:p w:rsidR="00317B75" w:rsidRPr="00317B75" w:rsidP="00317B75" w14:paraId="48BDD725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2"/>
              </w:rPr>
            </w:pPr>
            <w:r w:rsidRPr="00317B75">
              <w:rPr>
                <w:rFonts w:asciiTheme="minorHAnsi" w:eastAsiaTheme="minorHAnsi" w:hAnsiTheme="minorHAnsi" w:cs="Arial"/>
                <w:sz w:val="22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317B75" w:rsidRPr="00317B75" w:rsidP="00317B75" w14:paraId="35F37844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2"/>
              </w:rPr>
            </w:pPr>
            <w:r w:rsidRPr="00317B75">
              <w:rPr>
                <w:rFonts w:asciiTheme="minorHAnsi" w:eastAsiaTheme="minorHAnsi" w:hAnsiTheme="minorHAnsi" w:cs="Arial"/>
                <w:sz w:val="22"/>
                <w:rtl w:val="0"/>
                <w:lang w:val="cy-GB"/>
              </w:rPr>
              <w:t xml:space="preserve">Arwain ar wella perfformiad iechyd a diogelwch yn barhaus drwy ddealltwriaeth gadarn o broffil risg a datblygu diwylliant iechyd a diogelwch cadarnhaol. </w:t>
            </w:r>
          </w:p>
          <w:p w:rsidR="00317B75" w:rsidRPr="00317B75" w:rsidP="00317B75" w14:paraId="585989AA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2"/>
              </w:rPr>
            </w:pPr>
            <w:r w:rsidRPr="00317B75">
              <w:rPr>
                <w:rFonts w:asciiTheme="minorHAnsi" w:eastAsiaTheme="minorHAnsi" w:hAnsiTheme="minorHAnsi" w:cs="Arial"/>
                <w:sz w:val="22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317B75" w:rsidRPr="00317B75" w:rsidP="00317B75" w14:paraId="7E032B1A" w14:textId="7B345386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2"/>
              </w:rPr>
            </w:pPr>
            <w:r w:rsidRPr="00317B75">
              <w:rPr>
                <w:rFonts w:asciiTheme="minorHAnsi" w:hAnsiTheme="minorHAnsi" w:cs="Arial"/>
                <w:color w:val="000000"/>
                <w:sz w:val="22"/>
                <w:rtl w:val="0"/>
                <w:lang w:val="cy-GB"/>
              </w:rPr>
              <w:t>Sicrhau bod rheoli risg yn rhan annatod o'ch gweithgareddau beunyddiol i sicrhau bod arferion gwaith yn cydymffurfio â Pholisi Rheoli Risg y Brifysgol.</w:t>
            </w:r>
            <w:r w:rsidRPr="00317B75">
              <w:rPr>
                <w:rFonts w:asciiTheme="minorHAnsi" w:hAnsiTheme="minorHAnsi" w:cs="Arial"/>
                <w:color w:val="000000"/>
                <w:sz w:val="22"/>
                <w:highlight w:val="yellow"/>
                <w:rtl w:val="0"/>
                <w:lang w:val="cy-GB"/>
              </w:rPr>
              <w:t xml:space="preserve"> </w:t>
            </w:r>
          </w:p>
          <w:p w:rsidR="00317B75" w:rsidRPr="0051342B" w:rsidP="00317B75" w14:paraId="5A99774F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610162E7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317B75" w:rsidRPr="0051342B" w:rsidP="00317B75" w14:paraId="5833808B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317B75" w:rsidP="00317B75" w14:paraId="03895D64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2"/>
              </w:rPr>
            </w:pPr>
          </w:p>
          <w:p w:rsidR="00317B75" w:rsidP="00317B75" w14:paraId="4AD728A4" w14:textId="5FDB84FA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2"/>
              </w:rPr>
            </w:pPr>
            <w:r w:rsidRPr="00317B75">
              <w:rPr>
                <w:rFonts w:asciiTheme="minorHAnsi" w:hAnsiTheme="minorHAnsi"/>
                <w:sz w:val="22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317B75">
              <w:rPr>
                <w:rStyle w:val="Hyperlink"/>
                <w:rFonts w:ascii="Calibri" w:hAnsi="Calibri"/>
                <w:sz w:val="22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317B75">
              <w:rPr>
                <w:rFonts w:asciiTheme="minorHAnsi" w:hAnsiTheme="minorHAnsi"/>
                <w:sz w:val="22"/>
                <w:rtl w:val="0"/>
                <w:lang w:val="cy-GB"/>
              </w:rPr>
              <w:t xml:space="preserve"> - a disgwylir i bawb ddangos ymrwymiad i'r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:rsidR="00317B75" w:rsidRPr="00317B75" w:rsidP="00317B75" w14:paraId="5336294E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2"/>
              </w:rPr>
            </w:pPr>
          </w:p>
          <w:p w:rsidR="00317B75" w:rsidRPr="00317B75" w:rsidP="00317B75" w14:paraId="3B3EF4BE" w14:textId="77777777">
            <w:pPr>
              <w:bidi w:val="0"/>
              <w:spacing w:before="100" w:beforeAutospacing="1"/>
              <w:rPr>
                <w:rFonts w:asciiTheme="minorHAnsi" w:hAnsiTheme="minorHAnsi"/>
                <w:sz w:val="22"/>
              </w:rPr>
            </w:pPr>
            <w:r w:rsidRPr="00317B75">
              <w:rPr>
                <w:rFonts w:ascii="Calibri" w:hAnsi="Calibri"/>
                <w:b/>
                <w:bCs/>
                <w:sz w:val="22"/>
                <w:rtl w:val="0"/>
                <w:lang w:val="cy-GB"/>
              </w:rPr>
              <w:t>Rydym yn Broffesiynol</w:t>
            </w:r>
            <w:r w:rsidRPr="00317B75">
              <w:rPr>
                <w:rFonts w:ascii="Calibri" w:hAnsi="Calibri"/>
                <w:b w:val="0"/>
                <w:bCs/>
                <w:sz w:val="22"/>
                <w:rtl w:val="0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ardderchog.</w:t>
            </w:r>
          </w:p>
          <w:p w:rsidR="00317B75" w:rsidP="00317B75" w14:paraId="793FFCB4" w14:textId="77777777">
            <w:pPr>
              <w:bidi w:val="0"/>
              <w:spacing w:after="100" w:afterAutospacing="1"/>
              <w:rPr>
                <w:rFonts w:asciiTheme="minorHAnsi" w:hAnsiTheme="minorHAnsi"/>
                <w:sz w:val="22"/>
              </w:rPr>
            </w:pPr>
            <w:r w:rsidRPr="00317B75">
              <w:rPr>
                <w:rFonts w:ascii="Calibri" w:hAnsi="Calibri"/>
                <w:b/>
                <w:bCs/>
                <w:sz w:val="22"/>
                <w:rtl w:val="0"/>
                <w:lang w:val="cy-GB"/>
              </w:rPr>
              <w:br/>
            </w:r>
            <w:r w:rsidRPr="00317B75">
              <w:rPr>
                <w:rFonts w:ascii="Calibri" w:hAnsi="Calibri"/>
                <w:b/>
                <w:bCs/>
                <w:sz w:val="22"/>
                <w:rtl w:val="0"/>
                <w:lang w:val="cy-GB"/>
              </w:rPr>
              <w:t xml:space="preserve">Rydym yn Cydweithio          </w:t>
            </w:r>
            <w:r w:rsidRPr="00317B75">
              <w:rPr>
                <w:rFonts w:ascii="Calibri" w:hAnsi="Calibri"/>
                <w:b w:val="0"/>
                <w:bCs/>
                <w:sz w:val="22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317B75" w:rsidP="00317B75" w14:paraId="21F4CBFC" w14:textId="77777777">
            <w:pPr>
              <w:bidi w:val="0"/>
              <w:spacing w:after="100" w:afterAutospacing="1"/>
              <w:rPr>
                <w:rFonts w:asciiTheme="minorHAnsi" w:hAnsiTheme="minorHAnsi"/>
                <w:sz w:val="22"/>
              </w:rPr>
            </w:pPr>
          </w:p>
          <w:p w:rsidR="00317B75" w:rsidRPr="00317B75" w:rsidP="00317B75" w14:paraId="2227BA7C" w14:textId="77777777">
            <w:pPr>
              <w:bidi w:val="0"/>
              <w:spacing w:after="100" w:afterAutospacing="1"/>
              <w:rPr>
                <w:rFonts w:asciiTheme="minorHAnsi" w:hAnsiTheme="minorHAnsi"/>
                <w:sz w:val="22"/>
              </w:rPr>
            </w:pPr>
          </w:p>
          <w:p w:rsidR="00317B75" w:rsidRPr="00317B75" w:rsidP="00317B75" w14:paraId="26CE83DF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2"/>
              </w:rPr>
            </w:pPr>
            <w:r w:rsidRPr="00317B75">
              <w:rPr>
                <w:rFonts w:ascii="Calibri" w:hAnsi="Calibri"/>
                <w:b/>
                <w:bCs/>
                <w:sz w:val="22"/>
                <w:rtl w:val="0"/>
                <w:lang w:val="cy-GB"/>
              </w:rPr>
              <w:t>Rydym yn Ofalgar</w:t>
            </w:r>
            <w:r w:rsidRPr="00317B75">
              <w:rPr>
                <w:rFonts w:ascii="Calibri" w:hAnsi="Calibri"/>
                <w:b w:val="0"/>
                <w:bCs/>
                <w:sz w:val="22"/>
                <w:rtl w:val="0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317B75" w:rsidP="00317B75" w14:paraId="0AFAFB71" w14:textId="77777777">
            <w:pPr>
              <w:bidi w:val="0"/>
              <w:spacing w:before="100" w:beforeAutospacing="1"/>
              <w:rPr>
                <w:rFonts w:asciiTheme="minorHAnsi" w:hAnsiTheme="minorHAnsi"/>
                <w:sz w:val="22"/>
              </w:rPr>
            </w:pPr>
          </w:p>
          <w:p w:rsidR="00317B75" w:rsidRPr="00317B75" w:rsidP="00317B75" w14:paraId="5BA5CCDD" w14:textId="6929FDD0">
            <w:pPr>
              <w:bidi w:val="0"/>
              <w:spacing w:before="100" w:beforeAutospacing="1"/>
              <w:rPr>
                <w:rFonts w:asciiTheme="minorHAnsi" w:hAnsiTheme="minorHAnsi"/>
                <w:sz w:val="22"/>
                <w:lang w:val="en-IE"/>
              </w:rPr>
            </w:pPr>
            <w:r w:rsidRPr="00317B75">
              <w:rPr>
                <w:rFonts w:asciiTheme="minorHAnsi" w:hAnsiTheme="minorHAnsi"/>
                <w:sz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317B75" w:rsidRPr="0051342B" w:rsidP="00317B75" w14:paraId="02B125BD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76FFF523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317B75" w:rsidRPr="0051342B" w:rsidP="00317B75" w14:paraId="0D3C2E4F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sz w:val="20"/>
                <w:szCs w:val="20"/>
                <w:rtl w:val="0"/>
                <w:lang w:val="cy-GB"/>
              </w:rPr>
              <w:br w:type="page"/>
            </w: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317B75" w:rsidRPr="0051342B" w:rsidP="00317B75" w14:paraId="58C956E1" w14:textId="77777777">
            <w:pPr>
              <w:bidi w:val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317B75" w:rsidRPr="009B0DB1" w:rsidP="00317B75" w14:paraId="3F16C8D6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9B0DB1">
              <w:rPr>
                <w:rFonts w:ascii="Calibri" w:hAnsi="Calibri" w:cstheme="minorHAnsi"/>
                <w:b/>
                <w:bCs/>
                <w:sz w:val="22"/>
                <w:u w:val="single"/>
                <w:rtl w:val="0"/>
                <w:lang w:val="cy-GB"/>
              </w:rPr>
              <w:t>Meini Prawf Hanfodol:</w:t>
            </w:r>
          </w:p>
          <w:p w:rsidR="00317B75" w:rsidRPr="009B0DB1" w:rsidP="00317B75" w14:paraId="68237E13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2"/>
              </w:rPr>
            </w:pPr>
            <w:r w:rsidRPr="009B0DB1">
              <w:rPr>
                <w:rFonts w:ascii="Calibri" w:hAnsi="Calibri" w:cstheme="minorHAnsi"/>
                <w:b/>
                <w:bCs/>
                <w:sz w:val="22"/>
                <w:rtl w:val="0"/>
                <w:lang w:val="cy-GB"/>
              </w:rPr>
              <w:t>Gwerthoedd:</w:t>
            </w:r>
          </w:p>
          <w:p w:rsidR="00317B75" w:rsidRPr="009B0DB1" w:rsidP="00317B75" w14:paraId="34A891EB" w14:textId="77777777">
            <w:pPr>
              <w:pStyle w:val="ListParagraph"/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B0DB1">
              <w:rPr>
                <w:rFonts w:asciiTheme="minorHAnsi" w:hAnsiTheme="minorHAnsi" w:cstheme="minorHAnsi"/>
                <w:bCs/>
                <w:sz w:val="22"/>
                <w:rtl w:val="0"/>
                <w:lang w:val="cy-GB"/>
              </w:rPr>
              <w:t>Tystiolaeth o ymfalchïo mewn darparu gwasanaethau ac atebion proffesiynol</w:t>
            </w:r>
          </w:p>
          <w:p w:rsidR="00317B75" w:rsidRPr="009B0DB1" w:rsidP="00317B75" w14:paraId="41F2B73E" w14:textId="77777777">
            <w:pPr>
              <w:pStyle w:val="ListParagraph"/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B0DB1">
              <w:rPr>
                <w:rFonts w:asciiTheme="minorHAnsi" w:hAnsiTheme="minorHAnsi" w:cstheme="minorHAnsi"/>
                <w:bCs/>
                <w:sz w:val="22"/>
                <w:rtl w:val="0"/>
                <w:lang w:val="cy-GB"/>
              </w:rPr>
              <w:t>Gallu gweithio mewn amgylchedd o gydraddoldeb, ymddiriedaeth a pharch i ddarparu gwasanaethau sy'n ceisio rhagori ar anghenion a disgwyliadau'r cwsmeriaid.</w:t>
            </w:r>
          </w:p>
          <w:p w:rsidR="00317B75" w:rsidRPr="009B0DB1" w:rsidP="00317B75" w14:paraId="176C9B52" w14:textId="6999D23D">
            <w:pPr>
              <w:pStyle w:val="ListParagraph"/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bCs w:val="0"/>
                <w:sz w:val="22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317B75" w:rsidRPr="009B0DB1" w:rsidP="00317B75" w14:paraId="3C8F4B71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2"/>
              </w:rPr>
            </w:pPr>
            <w:r w:rsidRPr="009B0DB1">
              <w:rPr>
                <w:rFonts w:ascii="Calibri" w:hAnsi="Calibri" w:cstheme="minorHAnsi"/>
                <w:b/>
                <w:bCs/>
                <w:sz w:val="22"/>
                <w:rtl w:val="0"/>
                <w:lang w:val="cy-GB"/>
              </w:rPr>
              <w:t>Cymwysterau:</w:t>
            </w:r>
          </w:p>
          <w:p w:rsidR="00317B75" w:rsidRPr="009B0DB1" w:rsidP="00317B75" w14:paraId="1EB9BEF1" w14:textId="2EA690E2">
            <w:pPr>
              <w:pStyle w:val="paragraph"/>
              <w:numPr>
                <w:ilvl w:val="0"/>
                <w:numId w:val="10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Wedi'ch addysgu at o leiaf lefel gradd Baglor, o ddewis, mewn pwnc sy’n gysylltiedig â Pheirianneg Gemegol/Cemeg a/neu dystiolaeth o brofiad a chymwysterau cyfwerth sy'n gymesur â rolau a chyfrifoldebau'r swydd.</w:t>
            </w:r>
          </w:p>
          <w:p w:rsidR="00317B75" w:rsidRPr="009B0DB1" w:rsidP="00317B75" w14:paraId="56DEDBE5" w14:textId="77777777">
            <w:pPr>
              <w:pStyle w:val="paragraph"/>
              <w:numPr>
                <w:ilvl w:val="0"/>
                <w:numId w:val="10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Style w:val="normaltextrun"/>
                <w:rFonts w:asciiTheme="minorHAnsi" w:hAnsiTheme="minorHAnsi" w:cstheme="minorHAnsi"/>
                <w:sz w:val="22"/>
                <w:rtl w:val="0"/>
                <w:lang w:val="cy-GB"/>
              </w:rPr>
              <w:t xml:space="preserve">Wedi cwblhau cyfnod cydnabyddedig o hyfforddiant (prentisiaeth, cynllun hyfforddiant ffurfiol neu debyg) a phrofiad gwaith perthnasol sylweddol. </w:t>
            </w:r>
          </w:p>
          <w:p w:rsidR="00317B75" w:rsidRPr="009B0DB1" w:rsidP="00317B75" w14:paraId="604DFFCC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2"/>
              </w:rPr>
            </w:pPr>
            <w:r w:rsidRPr="009B0DB1">
              <w:rPr>
                <w:rFonts w:ascii="Calibri" w:hAnsi="Calibri" w:cstheme="minorHAnsi"/>
                <w:b/>
                <w:bCs/>
                <w:sz w:val="22"/>
                <w:rtl w:val="0"/>
                <w:lang w:val="cy-GB"/>
              </w:rPr>
              <w:t>Profiad:</w:t>
            </w:r>
          </w:p>
          <w:p w:rsidR="00317B75" w:rsidRPr="009B0DB1" w:rsidP="00317B75" w14:paraId="28713B1F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Style w:val="normaltextrun"/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Profiad o ddarparu cymorth technegol mewn amgylchedd technegol neu yn y </w:t>
            </w:r>
            <w:r w:rsidRPr="009B0DB1">
              <w:rPr>
                <w:rStyle w:val="normaltextrun"/>
                <w:rFonts w:asciiTheme="minorHAnsi" w:hAnsiTheme="minorHAnsi" w:cstheme="minorHAnsi"/>
                <w:sz w:val="22"/>
                <w:rtl w:val="0"/>
                <w:lang w:val="cy-GB"/>
              </w:rPr>
              <w:t xml:space="preserve">Biowyddorau neu faes cysylltiedig. </w:t>
            </w:r>
          </w:p>
          <w:p w:rsidR="00317B75" w:rsidRPr="009B0DB1" w:rsidP="00317B75" w14:paraId="1AF5D96C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Style w:val="normaltextrun"/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Profiad o brosesau iechyd a diogelwch mewn amgylchedd technegol ym maes y Biowyddorau neu faes cysylltiedig</w:t>
            </w:r>
          </w:p>
          <w:p w:rsidR="00317B75" w:rsidRPr="009B0DB1" w:rsidP="00317B75" w14:paraId="2B5B1578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2"/>
              </w:rPr>
            </w:pPr>
            <w:r w:rsidRPr="009B0DB1">
              <w:rPr>
                <w:rFonts w:ascii="Calibri" w:hAnsi="Calibri" w:cstheme="minorHAnsi"/>
                <w:b/>
                <w:bCs/>
                <w:sz w:val="22"/>
                <w:rtl w:val="0"/>
                <w:lang w:val="cy-GB"/>
              </w:rPr>
              <w:t>Gwybodaeth a Sgiliau:</w:t>
            </w:r>
          </w:p>
          <w:p w:rsidR="009B0DB1" w:rsidRPr="009B0DB1" w:rsidP="009B0DB1" w14:paraId="481A6BC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Y gallu i ddangos dealltwriaeth o ofynion iechyd a diogelwch ac amgylcheddol.</w:t>
            </w:r>
          </w:p>
          <w:p w:rsidR="009B0DB1" w:rsidRPr="009B0DB1" w:rsidP="009B0DB1" w14:paraId="38A6372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 xml:space="preserve">Y gallu i baratoi toddiannau a deunyddiau cemegol perthnasol ar gyfer arbrofion a sesiynau ymarferol yn </w:t>
            </w:r>
            <w:r w:rsidRPr="009B0DB1">
              <w:rPr>
                <w:rStyle w:val="normaltextrun"/>
                <w:rFonts w:asciiTheme="minorHAnsi" w:hAnsiTheme="minorHAnsi" w:cstheme="minorHAnsi"/>
                <w:sz w:val="22"/>
                <w:rtl w:val="0"/>
                <w:lang w:val="cy-GB"/>
              </w:rPr>
              <w:t>y Biowyddorau</w:t>
            </w: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>neu faes cysylltiedig</w:t>
            </w:r>
          </w:p>
          <w:p w:rsidR="009B0DB1" w:rsidRPr="009B0DB1" w:rsidP="009B0DB1" w14:paraId="5B9F4017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 xml:space="preserve">Tystiolaeth o sgiliau TG cryf. </w:t>
            </w:r>
          </w:p>
          <w:p w:rsidR="009B0DB1" w:rsidRPr="009B0DB1" w:rsidP="009B0DB1" w14:paraId="076A9989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>Sgiliau cryf o ran dadansoddi, canfod gwallau a datrys problemau.</w:t>
            </w:r>
          </w:p>
          <w:p w:rsidR="009B0DB1" w:rsidRPr="009B0DB1" w:rsidP="009B0DB1" w14:paraId="70960700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>Sgiliau cynllunio a blaenoriaethu er mwyn sicrhau bod deunyddiau ac offer yn cael eu caffael yn brydlon a'u bod ar gael yn ôl yr angen.</w:t>
            </w:r>
          </w:p>
          <w:p w:rsidR="009B0DB1" w:rsidRPr="009B0DB1" w:rsidP="009B0DB1" w14:paraId="46977CBE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eastAsia="Arial" w:asciiTheme="minorHAnsi" w:hAnsiTheme="minorHAnsi" w:cstheme="minorHAnsi"/>
                <w:sz w:val="22"/>
              </w:rPr>
            </w:pP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 xml:space="preserve">Y gallu i gynorthwyo wrth baratoi a chynnal prosesau a dogfennau asesiadau iechyd a diogelwch o ran y Biowyddorau a'r amgylchedd mewn amgylchedd technegol e.e.  </w:t>
            </w: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>y Rheoliadau Rheoli Sylweddau Peryglus i Iechyd (COSHH)</w:t>
            </w:r>
          </w:p>
          <w:p w:rsidR="009B0DB1" w:rsidRPr="009B0DB1" w:rsidP="009B0DB1" w14:paraId="3C9954AC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0DB1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Lefel uchel o fedrusrwydd corfforol, y gallu i godi, cludo a symud offer.</w:t>
            </w:r>
          </w:p>
          <w:p w:rsidR="009B0DB1" w:rsidRPr="009B0DB1" w:rsidP="009B0DB1" w14:paraId="6152278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Gallu darllen a deall cyfarwyddiadau gwaith technegol a dehongli a chynorthwyo wrth lunio dogfennau a phrosesau. </w:t>
            </w:r>
          </w:p>
          <w:p w:rsidR="009B0DB1" w:rsidRPr="009B0DB1" w:rsidP="009B0DB1" w14:paraId="27C3F04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Parodrwydd i ymgymryd â hyfforddiant pellach yn ôl yr angen. </w:t>
            </w:r>
          </w:p>
          <w:p w:rsidR="009B0DB1" w:rsidRPr="009B0DB1" w:rsidP="009B0DB1" w14:paraId="22E5225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Y gallu i weithio'n effeithiol fel rhan o dîm ag amrywiaeth o sgiliau.</w:t>
            </w:r>
          </w:p>
          <w:p w:rsidR="009B0DB1" w:rsidRPr="009B0DB1" w:rsidP="009B0DB1" w14:paraId="4B6341F1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 xml:space="preserve">Gwybodaeth am offer a chyfleusterau </w:t>
            </w:r>
            <w:r w:rsidRPr="009B0DB1">
              <w:rPr>
                <w:rStyle w:val="normaltextrun"/>
                <w:rFonts w:asciiTheme="minorHAnsi" w:hAnsiTheme="minorHAnsi" w:cstheme="minorHAnsi"/>
                <w:sz w:val="22"/>
                <w:rtl w:val="0"/>
                <w:lang w:val="cy-GB"/>
              </w:rPr>
              <w:t>y Biowyddorau</w:t>
            </w:r>
            <w:r w:rsidRPr="009B0DB1">
              <w:rPr>
                <w:rFonts w:eastAsia="DengXian" w:asciiTheme="minorHAnsi" w:hAnsiTheme="minorHAnsi" w:cstheme="minorHAnsi"/>
                <w:sz w:val="22"/>
                <w:rtl w:val="0"/>
                <w:lang w:val="cy-GB"/>
              </w:rPr>
              <w:t xml:space="preserve"> </w:t>
            </w:r>
            <w:r w:rsidRPr="009B0DB1">
              <w:rPr>
                <w:rFonts w:eastAsia="Arial" w:asciiTheme="minorHAnsi" w:hAnsiTheme="minorHAnsi" w:cstheme="minorHAnsi"/>
                <w:sz w:val="22"/>
                <w:rtl w:val="0"/>
                <w:lang w:val="cy-GB"/>
              </w:rPr>
              <w:t xml:space="preserve"> neu faes cyffelyb, amserlenni cynnal a chadw, a gwaith cadw cofnodion cysylltiedig.</w:t>
            </w:r>
          </w:p>
          <w:p w:rsidR="009B0DB1" w:rsidRPr="009B0DB1" w:rsidP="009B0DB1" w14:paraId="39E5885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Y gallu i ddangos sgiliau cyfathrebu da, ar lafar ac yn ysgrifenedig.</w:t>
            </w:r>
          </w:p>
          <w:p w:rsidR="009B0DB1" w:rsidRPr="009B0DB1" w:rsidP="009B0DB1" w14:paraId="0E6C6CC9" w14:textId="35ABC6D3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Llawn cymhelliant ac yn gallu gweithio'n annibynnol.</w:t>
            </w:r>
          </w:p>
          <w:p w:rsidR="00317B75" w:rsidRPr="009B0DB1" w:rsidP="00317B75" w14:paraId="6A9A8988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2"/>
              </w:rPr>
            </w:pPr>
          </w:p>
          <w:p w:rsidR="00317B75" w:rsidP="00317B75" w14:paraId="749A2307" w14:textId="0C386580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9B0DB1">
              <w:rPr>
                <w:rFonts w:ascii="Calibri" w:hAnsi="Calibri" w:cstheme="minorHAnsi"/>
                <w:b/>
                <w:bCs/>
                <w:sz w:val="22"/>
                <w:u w:val="single"/>
                <w:rtl w:val="0"/>
                <w:lang w:val="cy-GB"/>
              </w:rPr>
              <w:t>Meini Prawf Dymunol:</w:t>
            </w:r>
          </w:p>
          <w:p w:rsidR="009B0DB1" w:rsidRPr="009B0DB1" w:rsidP="009B0DB1" w14:paraId="73CF292D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24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Cymhwyster iechyd a diogelwch cydnabyddedig fel NEBOSH neu IOSH neu barodrwydd i weithio tuag at gymhwyster o'r fath.</w:t>
            </w:r>
          </w:p>
          <w:p w:rsidR="009B0DB1" w:rsidRPr="009B0DB1" w:rsidP="009B0DB1" w14:paraId="6D6B94DD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24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Cymwysterau addysg bellach, addysg uwch neu broffesiynol perthnasol.</w:t>
            </w:r>
          </w:p>
          <w:p w:rsidR="009B0DB1" w:rsidRPr="009B0DB1" w:rsidP="009B0DB1" w14:paraId="533AC351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24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Profiad o drin silindrau nwy a defnyddio systemau nwy pwysedd uchel.</w:t>
            </w:r>
          </w:p>
          <w:p w:rsidR="009B0DB1" w:rsidRPr="009B0DB1" w:rsidP="009B0DB1" w14:paraId="1063DCF6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24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Profiad o ymdrin â deunyddiau cryogenig a'u defnyddio (e.e., </w:t>
            </w: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nitrogen hylifol, iâ sych).</w:t>
            </w:r>
          </w:p>
          <w:p w:rsidR="009B0DB1" w:rsidRPr="009B0DB1" w:rsidP="009B0DB1" w14:paraId="6220775F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24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Profiad o ddefnyddio offeryniaeth ddadansoddol (e.e., </w:t>
            </w: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GCMS, HPLC, ICP).</w:t>
            </w:r>
          </w:p>
          <w:p w:rsidR="009B0DB1" w:rsidRPr="009B0DB1" w:rsidP="009B0DB1" w14:paraId="12906596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24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Profiad o weithio yn y sector Addysg Uwch.</w:t>
            </w:r>
          </w:p>
          <w:p w:rsidR="009B0DB1" w:rsidRPr="009B0DB1" w:rsidP="009B0DB1" w14:paraId="4895D873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24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Profiad blaenorol o ddarparu cymorth technegol mewn cyfleusterau sy'n gysylltiedig â'r Biowyddorau. </w:t>
            </w:r>
          </w:p>
          <w:p w:rsidR="009B0DB1" w:rsidRPr="009B0DB1" w:rsidP="009B0DB1" w14:paraId="379D8D05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Aelod cofrestredig o gorff proffesiynol.</w:t>
            </w:r>
          </w:p>
          <w:p w:rsidR="009B0DB1" w:rsidRPr="009B0DB1" w:rsidP="009B0DB1" w14:paraId="3237B91B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Profiad o ddarparu cymorth addysgu i ddysgwyr/fyfyrwyr.</w:t>
            </w:r>
          </w:p>
          <w:p w:rsidR="009B0DB1" w:rsidP="009B0DB1" w14:paraId="1EC514CE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Y gallu i gyfathrebu yn Gymraeg.</w:t>
            </w:r>
          </w:p>
          <w:p w:rsidR="00317B75" w:rsidRPr="009B0DB1" w:rsidP="009B0DB1" w14:paraId="583EA9AB" w14:textId="06277779">
            <w:pPr>
              <w:pStyle w:val="ListParagraph"/>
              <w:numPr>
                <w:ilvl w:val="0"/>
                <w:numId w:val="13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Trwydded yrru.</w:t>
            </w:r>
          </w:p>
        </w:tc>
      </w:tr>
      <w:tr w14:paraId="5FB3A941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317B75" w:rsidRPr="0051342B" w:rsidP="00317B75" w14:paraId="6B4528B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Welsh language level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2"/>
              </w:rPr>
              <w:id w:val="-899205344"/>
              <w:placeholder>
                <w:docPart w:val="1BB5DAA204634342BE84FA00A1912AC8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317B75" w:rsidRPr="009B0DB1" w:rsidP="00317B75" w14:paraId="573750BD" w14:textId="4E2276FE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317B75" w:rsidRPr="009B0DB1" w:rsidP="00317B75" w14:paraId="00214A4A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317B75" w:rsidRPr="009B0DB1" w:rsidP="00317B75" w14:paraId="182BB46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9B0DB1">
              <w:rPr>
                <w:rStyle w:val="Hyperlink"/>
                <w:rFonts w:ascii="Calibri" w:hAnsi="Calibri" w:cstheme="minorHAnsi"/>
                <w:sz w:val="22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9B0DB1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.</w:t>
            </w:r>
          </w:p>
        </w:tc>
      </w:tr>
      <w:tr w14:paraId="182EC1C1" w14:textId="77777777" w:rsidTr="00624117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242F60"/>
            <w:vAlign w:val="center"/>
          </w:tcPr>
          <w:p w:rsidR="00317B75" w:rsidRPr="0051342B" w:rsidP="00317B75" w14:paraId="546C2EC2" w14:textId="77777777">
            <w:pPr>
              <w:bidi w:val="0"/>
              <w:spacing w:before="24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E56343" w:rsidP="00317B75" w14:paraId="4300AF94" w14:textId="77777777">
            <w:pPr>
              <w:bidi w:val="0"/>
              <w:spacing w:before="100" w:beforeAutospacing="1" w:after="24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:rsidR="00317B75" w:rsidRPr="009B0DB1" w:rsidP="00317B75" w14:paraId="554AA9CF" w14:textId="4E8798E0">
            <w:pPr>
              <w:bidi w:val="0"/>
              <w:spacing w:before="100" w:beforeAutospacing="1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B0DB1">
              <w:rPr>
                <w:rFonts w:asciiTheme="minorHAnsi" w:hAnsiTheme="minorHAnsi" w:cstheme="minorHAnsi"/>
                <w:color w:val="000000"/>
                <w:sz w:val="22"/>
                <w:rtl w:val="0"/>
                <w:lang w:val="cy-GB"/>
              </w:rPr>
              <w:t>Ymholiadau anffurfiol: h.c.williams@abertawe.ac.uk</w:t>
            </w:r>
          </w:p>
          <w:p w:rsidR="00E56343" w:rsidP="00317B75" w14:paraId="563F8E04" w14:textId="77777777">
            <w:pPr>
              <w:bidi w:val="0"/>
              <w:spacing w:before="100" w:beforeAutospacing="1" w:after="24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:rsidR="00317B75" w:rsidRPr="009B0DB1" w:rsidP="0087014F" w14:paraId="4EA7D8A3" w14:textId="164BCEA2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624117" w:rsidRPr="0051342B" w:rsidP="00624117" w14:paraId="54CBC91A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51342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5404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2B">
        <w:rPr>
          <w:sz w:val="20"/>
          <w:szCs w:val="20"/>
          <w:rtl w:val="0"/>
          <w:lang w:val="cy-GB"/>
        </w:rPr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101304285" name="Picture 1101304285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80088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2B">
        <w:rPr>
          <w:sz w:val="20"/>
          <w:szCs w:val="20"/>
          <w:rtl w:val="0"/>
          <w:lang w:val="cy-GB"/>
        </w:rPr>
        <w:tab/>
        <w:tab/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2139320142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738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51342B" w:rsidP="008E75E6" w14:paraId="1FE162A5" w14:textId="35771FE9">
      <w:pPr>
        <w:bidi w:val="0"/>
        <w:rPr>
          <w:sz w:val="20"/>
          <w:szCs w:val="20"/>
        </w:rPr>
      </w:pPr>
    </w:p>
    <w:p w:rsidR="00C662E1" w:rsidRPr="0051342B" w:rsidP="008E75E6" w14:paraId="44248348" w14:textId="77777777">
      <w:pPr>
        <w:bidi w:val="0"/>
        <w:rPr>
          <w:sz w:val="20"/>
          <w:szCs w:val="20"/>
        </w:rPr>
      </w:pPr>
    </w:p>
    <w:sectPr w:rsidSect="006A343D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9BF0678-B243-43A6-909D-18660991EC35}"/>
    <w:embedBold r:id="rId2" w:subsetted="1" w:fontKey="{602A8572-3284-4C58-A2EF-59986C6975B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234DAF0C-905A-4CEE-BD5F-21E763F2237A}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950910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C1C3B"/>
    <w:multiLevelType w:val="hybridMultilevel"/>
    <w:tmpl w:val="7ED07C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449A"/>
    <w:multiLevelType w:val="multilevel"/>
    <w:tmpl w:val="AB4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347B5B"/>
    <w:multiLevelType w:val="multilevel"/>
    <w:tmpl w:val="70D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57563"/>
    <w:multiLevelType w:val="hybridMultilevel"/>
    <w:tmpl w:val="EBFE0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DD1590"/>
    <w:multiLevelType w:val="multilevel"/>
    <w:tmpl w:val="AB4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6A6E4C"/>
    <w:multiLevelType w:val="hybridMultilevel"/>
    <w:tmpl w:val="35EC2A5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17B75"/>
    <w:rsid w:val="00322703"/>
    <w:rsid w:val="00326CBD"/>
    <w:rsid w:val="00330BD9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589"/>
    <w:rsid w:val="00422A4D"/>
    <w:rsid w:val="0043174C"/>
    <w:rsid w:val="004322BE"/>
    <w:rsid w:val="00436940"/>
    <w:rsid w:val="0044342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4F325F"/>
    <w:rsid w:val="005019FC"/>
    <w:rsid w:val="00511381"/>
    <w:rsid w:val="0051342B"/>
    <w:rsid w:val="005135B9"/>
    <w:rsid w:val="00516ED5"/>
    <w:rsid w:val="005229A8"/>
    <w:rsid w:val="005265E1"/>
    <w:rsid w:val="005367A5"/>
    <w:rsid w:val="005613E7"/>
    <w:rsid w:val="00563F1B"/>
    <w:rsid w:val="00564F99"/>
    <w:rsid w:val="005705E1"/>
    <w:rsid w:val="0057412C"/>
    <w:rsid w:val="00580DAC"/>
    <w:rsid w:val="005A12F4"/>
    <w:rsid w:val="005C44E7"/>
    <w:rsid w:val="005C7B2A"/>
    <w:rsid w:val="005D2500"/>
    <w:rsid w:val="005D31FD"/>
    <w:rsid w:val="005D5108"/>
    <w:rsid w:val="00604F88"/>
    <w:rsid w:val="00624117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343D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7014F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05C0"/>
    <w:rsid w:val="00932E9A"/>
    <w:rsid w:val="00937515"/>
    <w:rsid w:val="00941CE6"/>
    <w:rsid w:val="00957640"/>
    <w:rsid w:val="0097112E"/>
    <w:rsid w:val="009952FB"/>
    <w:rsid w:val="009A5217"/>
    <w:rsid w:val="009B0DB1"/>
    <w:rsid w:val="009B24D4"/>
    <w:rsid w:val="009B4EBD"/>
    <w:rsid w:val="009D4A44"/>
    <w:rsid w:val="009D796F"/>
    <w:rsid w:val="009F10E5"/>
    <w:rsid w:val="00A022BA"/>
    <w:rsid w:val="00A05A28"/>
    <w:rsid w:val="00A10AE2"/>
    <w:rsid w:val="00A11CA2"/>
    <w:rsid w:val="00A20AD4"/>
    <w:rsid w:val="00A346C2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AF71F6"/>
    <w:rsid w:val="00B01162"/>
    <w:rsid w:val="00B11E2D"/>
    <w:rsid w:val="00B20B6A"/>
    <w:rsid w:val="00B3227B"/>
    <w:rsid w:val="00B43469"/>
    <w:rsid w:val="00B53343"/>
    <w:rsid w:val="00B65F5B"/>
    <w:rsid w:val="00B66187"/>
    <w:rsid w:val="00B94D6E"/>
    <w:rsid w:val="00B95C17"/>
    <w:rsid w:val="00BA4035"/>
    <w:rsid w:val="00BB037F"/>
    <w:rsid w:val="00BB618D"/>
    <w:rsid w:val="00BD03BE"/>
    <w:rsid w:val="00BE5C72"/>
    <w:rsid w:val="00BE7962"/>
    <w:rsid w:val="00BF30BA"/>
    <w:rsid w:val="00C04B9C"/>
    <w:rsid w:val="00C401A1"/>
    <w:rsid w:val="00C4196B"/>
    <w:rsid w:val="00C54D91"/>
    <w:rsid w:val="00C662E1"/>
    <w:rsid w:val="00C81340"/>
    <w:rsid w:val="00C85A09"/>
    <w:rsid w:val="00C92623"/>
    <w:rsid w:val="00C93F2E"/>
    <w:rsid w:val="00C960F5"/>
    <w:rsid w:val="00CA25C7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408D0"/>
    <w:rsid w:val="00D50878"/>
    <w:rsid w:val="00D5679A"/>
    <w:rsid w:val="00D6126D"/>
    <w:rsid w:val="00D61BE2"/>
    <w:rsid w:val="00D668F4"/>
    <w:rsid w:val="00D84EEA"/>
    <w:rsid w:val="00D9342E"/>
    <w:rsid w:val="00D95030"/>
    <w:rsid w:val="00DA73F6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56343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D012E"/>
    <w:rsid w:val="00EE4FA2"/>
    <w:rsid w:val="00EE5563"/>
    <w:rsid w:val="00EE66F0"/>
    <w:rsid w:val="00EF2C10"/>
    <w:rsid w:val="00EF4D40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DC4"/>
    <w:rsid w:val="00FF20C3"/>
    <w:rsid w:val="612FDB82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D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paragraph">
    <w:name w:val="paragraph"/>
    <w:basedOn w:val="Normal"/>
    <w:rsid w:val="00317B7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317B75"/>
  </w:style>
  <w:style w:type="character" w:customStyle="1" w:styleId="Heading7Char">
    <w:name w:val="Heading 7 Char"/>
    <w:basedOn w:val="DefaultParagraphFont"/>
    <w:link w:val="Heading7"/>
    <w:rsid w:val="009B0DB1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BB5DAA204634342BE84FA00A191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083F-06AE-476D-9FAF-421E3E3EE1CB}"/>
      </w:docPartPr>
      <w:docPartBody>
        <w:p w:rsidR="00A10AE2" w:rsidP="00A10AE2">
          <w:pPr>
            <w:pStyle w:val="1BB5DAA204634342BE84FA00A1912AC8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D"/>
    <w:rsid w:val="000575E9"/>
    <w:rsid w:val="00630F8D"/>
    <w:rsid w:val="008970B6"/>
    <w:rsid w:val="00A10AE2"/>
    <w:rsid w:val="00A3075D"/>
    <w:rsid w:val="00AF71F6"/>
    <w:rsid w:val="00D408D0"/>
    <w:rsid w:val="00EF2C10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AE2"/>
    <w:rPr>
      <w:color w:val="666666"/>
    </w:rPr>
  </w:style>
  <w:style w:type="paragraph" w:customStyle="1" w:styleId="1BB5DAA204634342BE84FA00A1912AC8">
    <w:name w:val="1BB5DAA204634342BE84FA00A1912AC8"/>
    <w:rsid w:val="00A10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3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D1CABF-EFB0-42B2-A1B2-9DD5D9438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Waye Zhang</cp:lastModifiedBy>
  <cp:revision>3</cp:revision>
  <cp:lastPrinted>2019-01-11T13:43:00Z</cp:lastPrinted>
  <dcterms:created xsi:type="dcterms:W3CDTF">2024-08-23T13:23:00Z</dcterms:created>
  <dcterms:modified xsi:type="dcterms:W3CDTF">2024-08-23T13:27:00Z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