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278" w:line="250" w:lineRule="auto"/>
        <w:ind w:right="485"/>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Turing Patterns based Design and Fabrication of Inflatable Shape Morphing Structures </w:t>
      </w:r>
    </w:p>
    <w:p>
      <w:pPr>
        <w:pStyle w:val="Body"/>
        <w:jc w:val="both"/>
      </w:pPr>
    </w:p>
    <w:p>
      <w:pPr>
        <w:pStyle w:val="Body"/>
        <w:jc w:val="both"/>
        <w:rPr>
          <w:rFonts w:ascii="Times New Roman" w:cs="Times New Roman" w:hAnsi="Times New Roman" w:eastAsia="Times New Roman"/>
          <w:i w:val="1"/>
          <w:iCs w:val="1"/>
          <w:sz w:val="24"/>
          <w:szCs w:val="24"/>
        </w:rPr>
      </w:pPr>
      <w:r>
        <w:rPr>
          <w:b w:val="1"/>
          <w:bCs w:val="1"/>
          <w:rtl w:val="0"/>
          <w:lang w:val="de-DE"/>
        </w:rPr>
        <w:t>Abstract</w:t>
      </w:r>
      <w:r>
        <w:rPr>
          <w:rtl w:val="0"/>
        </w:rPr>
        <w:t xml:space="preserve">: </w:t>
      </w:r>
      <w:r>
        <w:rPr>
          <w:rFonts w:ascii="Times New Roman" w:hAnsi="Times New Roman"/>
          <w:i w:val="1"/>
          <w:iCs w:val="1"/>
          <w:sz w:val="24"/>
          <w:szCs w:val="24"/>
          <w:rtl w:val="0"/>
          <w:lang w:val="en-US"/>
        </w:rPr>
        <w:t>A Bio-inspired 4D printing system of shape-morphing inflatable structures is demonstrated by printing distribution of material orientations of their surface membrane. Material orientation field is obtained using gradient-based optimization algorithm that continuously modifies preferred direction at each material point to improve design objectives. By prescribing orientations, we can program local deformation of material and thus control their global shapes. The membranes are fabricated with robust mechanical properties by grayscale digital light processing (g-DLP) 3D printing. Each pixel in this printing system, however, is limited to isotropic material. Therefore, our approach converts the anisotropic material field into discretized Turing pattern texture that induces anisotropic deformation of the surface membrane, in which every pixel is classified as stiff or soft material. Complex shapes of the Turing pattern texture can be fabricated with our g-DLP 3D printing system which can broadly tailor materials of modulus up to three orders of magnitude within a layer. Furthermore, we address fabric-based manufacturing method by designing and tuning the geometric pattern of reinforcement sheet embedded into an unstructured elastomeric membrane. The present methods provide one of solutions for 3D printing of anisotropic inflatable membrane structure that directly produces the fabrication instruction. These techniques are expected to have an impact on the design and fabrication of the shape-morphing inflatable structures.</w:t>
      </w: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b w:val="1"/>
          <w:bCs w:val="1"/>
          <w:sz w:val="24"/>
          <w:szCs w:val="24"/>
          <w:rtl w:val="0"/>
        </w:rPr>
        <w:t xml:space="preserve">Dr. Masato Tanaka: </w:t>
      </w:r>
      <w:r>
        <w:rPr>
          <w:rtl w:val="0"/>
          <w:lang w:val="en-US"/>
        </w:rPr>
        <w:t>He is an Executive Engineer at the Toyota Research Institute of North America (TRINA) in Ann Arbor, Michigan, where he develops computational inverse design method of inflatable structures with wide applications in soft robot and flexible body structures.  He joined Toyota Central R&amp;D Labs., Inc., Japan in 2009. He mainly focused on developing numerical modeling of composite materials which are used in simulation of automotive structures.  During 2012-2014, he stayed at Institute of Mechanics of University of Duisburg-Essen, Germany, as a visiting scholar.  He has published more than 30 articles in peer-reviewed journals on topics related to computational mechanics. Prior to Toyota, he worked at Department of System Design Engineering, Keio University, Japan, as Assistant Professor (Non-tenured). He earned a Ph.D in Mechanical Engineering from Keio University, Japan.</w:t>
      </w:r>
    </w:p>
    <w:p>
      <w:pPr>
        <w:pStyle w:val="Body"/>
      </w:pPr>
    </w:p>
    <w:p>
      <w:pPr>
        <w:pStyle w:val="Body"/>
        <w:rPr>
          <w:b w:val="1"/>
          <w:bCs w:val="1"/>
        </w:rPr>
      </w:pPr>
      <w:r>
        <w:rPr>
          <w:b w:val="1"/>
          <w:bCs w:val="1"/>
          <w:rtl w:val="0"/>
          <w:lang w:val="en-US"/>
        </w:rPr>
        <w:t>Date: 11 July 2022</w:t>
      </w:r>
    </w:p>
    <w:p>
      <w:pPr>
        <w:pStyle w:val="Body"/>
        <w:rPr>
          <w:b w:val="1"/>
          <w:bCs w:val="1"/>
        </w:rPr>
      </w:pPr>
      <w:r>
        <w:rPr>
          <w:b w:val="1"/>
          <w:bCs w:val="1"/>
          <w:rtl w:val="0"/>
          <w:lang w:val="en-US"/>
        </w:rPr>
        <w:t>Time: 14:00-15:00</w:t>
      </w:r>
    </w:p>
    <w:p>
      <w:pPr>
        <w:pStyle w:val="Body"/>
      </w:pPr>
      <w:r>
        <w:rPr>
          <w:b w:val="1"/>
          <w:bCs w:val="1"/>
          <w:rtl w:val="0"/>
          <w:lang w:val="en-US"/>
        </w:rPr>
        <w:t xml:space="preserve">Room : 247, School of Management, Bay Campus  </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254000</wp:posOffset>
              </wp:positionH>
              <wp:positionV relativeFrom="page">
                <wp:posOffset>190500</wp:posOffset>
              </wp:positionV>
              <wp:extent cx="7426960" cy="273050"/>
              <wp:effectExtent l="0" t="0" r="0" b="0"/>
              <wp:wrapNone/>
              <wp:docPr id="1073741825" name="officeArt object" descr="{&quot;HashCode&quot;:-48860968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0" cy="273050"/>
                      </a:xfrm>
                      <a:prstGeom prst="rect">
                        <a:avLst/>
                      </a:prstGeom>
                      <a:noFill/>
                      <a:ln w="12700" cap="flat">
                        <a:noFill/>
                        <a:miter lim="400000"/>
                      </a:ln>
                      <a:effectLst/>
                    </wps:spPr>
                    <wps:txbx>
                      <w:txbxContent>
                        <w:p>
                          <w:pPr>
                            <w:pStyle w:val="Body"/>
                            <w:spacing w:after="0"/>
                          </w:pP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 PROTECTED </w:t>
                          </w:r>
                          <w:r>
                            <w:rPr>
                              <w:rFonts w:ascii="Arial Unicode MS" w:cs="Arial Unicode MS" w:hAnsi="Arial Unicode MS" w:eastAsia="Arial Unicode MS" w:hint="eastAsia"/>
                              <w:b w:val="0"/>
                              <w:bCs w:val="0"/>
                              <w:i w:val="0"/>
                              <w:iCs w:val="0"/>
                              <w:outline w:val="0"/>
                              <w:color w:val="000000"/>
                              <w:sz w:val="20"/>
                              <w:szCs w:val="20"/>
                              <w:u w:color="000000"/>
                              <w:rtl w:val="0"/>
                              <w:lang w:val="ja-JP" w:eastAsia="ja-JP"/>
                              <w14:textFill>
                                <w14:solidFill>
                                  <w14:srgbClr w14:val="000000"/>
                                </w14:solidFill>
                              </w14:textFill>
                            </w:rPr>
                            <w:t>関係者外秘</w:t>
                          </w:r>
                        </w:p>
                      </w:txbxContent>
                    </wps:txbx>
                    <wps:bodyPr wrap="square" lIns="0" tIns="0" rIns="0" bIns="0" numCol="1" anchor="t">
                      <a:noAutofit/>
                    </wps:bodyPr>
                  </wps:wsp>
                </a:graphicData>
              </a:graphic>
            </wp:anchor>
          </w:drawing>
        </mc:Choice>
        <mc:Fallback>
          <w:pict>
            <v:shape id="_x0000_s1026" type="#_x0000_t202" style="visibility:visible;position:absolute;margin-left:20.0pt;margin-top:15.0pt;width:584.8pt;height:21.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0"/>
                    </w:pPr>
                    <w:r>
                      <w:rPr>
                        <w:outline w:val="0"/>
                        <w:color w:val="000000"/>
                        <w:sz w:val="20"/>
                        <w:szCs w:val="20"/>
                        <w:u w:color="000000"/>
                        <w:rtl w:val="0"/>
                        <w:lang w:val="en-US"/>
                        <w14:textFill>
                          <w14:solidFill>
                            <w14:srgbClr w14:val="000000"/>
                          </w14:solidFill>
                        </w14:textFill>
                      </w:rPr>
                      <w:t>••</w:t>
                    </w:r>
                    <w:r>
                      <w:rPr>
                        <w:outline w:val="0"/>
                        <w:color w:val="000000"/>
                        <w:sz w:val="20"/>
                        <w:szCs w:val="20"/>
                        <w:u w:color="000000"/>
                        <w:rtl w:val="0"/>
                        <w:lang w:val="en-US"/>
                        <w14:textFill>
                          <w14:solidFill>
                            <w14:srgbClr w14:val="000000"/>
                          </w14:solidFill>
                        </w14:textFill>
                      </w:rPr>
                      <w:t xml:space="preserve"> PROTECTED </w:t>
                    </w:r>
                    <w:r>
                      <w:rPr>
                        <w:rFonts w:ascii="Arial Unicode MS" w:cs="Arial Unicode MS" w:hAnsi="Arial Unicode MS" w:eastAsia="Arial Unicode MS" w:hint="eastAsia"/>
                        <w:b w:val="0"/>
                        <w:bCs w:val="0"/>
                        <w:i w:val="0"/>
                        <w:iCs w:val="0"/>
                        <w:outline w:val="0"/>
                        <w:color w:val="000000"/>
                        <w:sz w:val="20"/>
                        <w:szCs w:val="20"/>
                        <w:u w:color="000000"/>
                        <w:rtl w:val="0"/>
                        <w:lang w:val="ja-JP" w:eastAsia="ja-JP"/>
                        <w14:textFill>
                          <w14:solidFill>
                            <w14:srgbClr w14:val="000000"/>
                          </w14:solidFill>
                        </w14:textFill>
                      </w:rPr>
                      <w:t>関係者外秘</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Helvetica Neue"/>
        <a:cs typeface="Helvetica Neue"/>
      </a:majorFont>
      <a:minorFont>
        <a:latin typeface="Helvetica Neue"/>
        <a:ea typeface="Helvetica Neue"/>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